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노무비 구분관리 확인서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사 명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확인대상 기간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전 용 계 좌 정 보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지 급 대 상 인 원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520" w:after="0"/>
        <w:jc w:val="center"/>
      </w:pPr>
      <w:r>
        <w:rPr>
          <w:rFonts w:ascii="맑은 고딕" w:hAnsi="맑은 고딕" w:eastAsia="맑은 고딕"/>
          <w:b w:val="0"/>
          <w:sz w:val="23"/>
        </w:rPr>
        <w:t>위 기간 동안 노무비를 구분관리하여 지급하였음을 확인합니다.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용도 : 노무비 구분관리 확인용</w:t>
      </w:r>
    </w:p>
    <w:p>
      <w:pPr>
        <w:spacing w:before="44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320" w:after="0"/>
        <w:jc w:val="center"/>
      </w:pPr>
      <w:r>
        <w:rPr>
          <w:rFonts w:ascii="맑은 고딕" w:hAnsi="맑은 고딕" w:eastAsia="맑은 고딕"/>
          <w:b/>
          <w:sz w:val="24"/>
        </w:rPr>
        <w:t>상 호 / 대표자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